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BA" w:rsidRDefault="000E08BA" w:rsidP="000E08BA">
      <w:pPr>
        <w:adjustRightInd w:val="0"/>
        <w:snapToGrid w:val="0"/>
        <w:spacing w:beforeLines="50" w:before="190" w:line="360" w:lineRule="auto"/>
        <w:jc w:val="center"/>
        <w:outlineLvl w:val="0"/>
        <w:rPr>
          <w:rFonts w:ascii="宋体" w:eastAsia="宋体" w:hAnsi="宋体" w:cs="Times New Roman" w:hint="eastAsia"/>
          <w:b/>
          <w:bCs/>
          <w:sz w:val="36"/>
          <w:szCs w:val="32"/>
          <w:lang w:val="x-none"/>
        </w:rPr>
      </w:pPr>
      <w:r>
        <w:rPr>
          <w:rFonts w:ascii="宋体" w:eastAsia="宋体" w:hAnsi="宋体" w:cs="Times New Roman" w:hint="eastAsia"/>
          <w:b/>
          <w:bCs/>
          <w:sz w:val="36"/>
          <w:szCs w:val="32"/>
          <w:lang w:val="x-none"/>
        </w:rPr>
        <w:t>保利房地产（集团）股份有限公司</w:t>
      </w:r>
    </w:p>
    <w:p w:rsidR="000E08BA" w:rsidRPr="000E08BA" w:rsidRDefault="000E08BA" w:rsidP="000E08BA">
      <w:pPr>
        <w:adjustRightInd w:val="0"/>
        <w:snapToGrid w:val="0"/>
        <w:spacing w:line="360" w:lineRule="auto"/>
        <w:jc w:val="center"/>
        <w:outlineLvl w:val="0"/>
        <w:rPr>
          <w:rFonts w:ascii="宋体" w:eastAsia="宋体" w:hAnsi="宋体" w:cs="Times New Roman"/>
          <w:b/>
          <w:bCs/>
          <w:sz w:val="36"/>
          <w:szCs w:val="32"/>
          <w:lang w:val="x-none" w:eastAsia="x-none"/>
        </w:rPr>
      </w:pPr>
      <w:bookmarkStart w:id="0" w:name="_GoBack"/>
      <w:r w:rsidRPr="000E08BA">
        <w:rPr>
          <w:rFonts w:ascii="宋体" w:eastAsia="宋体" w:hAnsi="宋体" w:cs="Times New Roman" w:hint="eastAsia"/>
          <w:b/>
          <w:bCs/>
          <w:sz w:val="36"/>
          <w:szCs w:val="32"/>
          <w:lang w:val="x-none" w:eastAsia="x-none"/>
        </w:rPr>
        <w:t>2018-2020年股东回报规划</w:t>
      </w:r>
    </w:p>
    <w:bookmarkEnd w:id="0"/>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保利房地产（集团）股份有限公司（以下简称“公司”）在实现自身发展的同时，高度重视股东的合理投资回报。在综合考虑公司战略发展目标、经营规划、盈利能力、股东回报、社会资金成本以及外部融资环境等因素基础上，公司制订了</w:t>
      </w:r>
      <w:r w:rsidRPr="000E08BA">
        <w:rPr>
          <w:rFonts w:ascii="宋体" w:eastAsia="宋体" w:hAnsi="宋体" w:cs="Times New Roman"/>
          <w:sz w:val="28"/>
          <w:szCs w:val="28"/>
        </w:rPr>
        <w:t>2018-2020</w:t>
      </w:r>
      <w:r w:rsidRPr="000E08BA">
        <w:rPr>
          <w:rFonts w:ascii="宋体" w:eastAsia="宋体" w:hAnsi="宋体" w:cs="Times New Roman" w:hint="eastAsia"/>
          <w:sz w:val="28"/>
          <w:szCs w:val="28"/>
        </w:rPr>
        <w:t xml:space="preserve">年股东回报规划（以下简称“本规划”）。具体内容如下： </w:t>
      </w:r>
    </w:p>
    <w:p w:rsidR="000E08BA" w:rsidRPr="000E08BA" w:rsidRDefault="000E08BA" w:rsidP="000E08BA">
      <w:pPr>
        <w:adjustRightInd w:val="0"/>
        <w:snapToGrid w:val="0"/>
        <w:spacing w:line="360" w:lineRule="auto"/>
        <w:ind w:firstLineChars="192" w:firstLine="540"/>
        <w:rPr>
          <w:rFonts w:ascii="宋体" w:eastAsia="宋体" w:hAnsi="宋体" w:cs="Times New Roman"/>
          <w:b/>
          <w:sz w:val="28"/>
          <w:szCs w:val="28"/>
        </w:rPr>
      </w:pPr>
      <w:r w:rsidRPr="000E08BA">
        <w:rPr>
          <w:rFonts w:ascii="宋体" w:eastAsia="宋体" w:hAnsi="宋体" w:cs="Times New Roman" w:hint="eastAsia"/>
          <w:b/>
          <w:sz w:val="28"/>
          <w:szCs w:val="28"/>
        </w:rPr>
        <w:t>第一条 制订本规划考虑因素</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公司致力于实现平稳、健康和可持续发展，综合考虑公司实际经营情况、战略发展目标、经营规划、盈利能力、股东的意愿和要求、外部融资成本和融资环境、公司现金流量状况等重要因素，平衡股东的短期利益和长期回报，建立对投资者持续、稳定、科学的回报规划与机制，对利润分配做出制度性安排，以保证利润分配政策的连续性和稳定性。</w:t>
      </w:r>
    </w:p>
    <w:p w:rsidR="000E08BA" w:rsidRPr="000E08BA" w:rsidRDefault="000E08BA" w:rsidP="000E08BA">
      <w:pPr>
        <w:adjustRightInd w:val="0"/>
        <w:snapToGrid w:val="0"/>
        <w:spacing w:line="360" w:lineRule="auto"/>
        <w:ind w:firstLineChars="192" w:firstLine="540"/>
        <w:rPr>
          <w:rFonts w:ascii="宋体" w:eastAsia="宋体" w:hAnsi="宋体" w:cs="Times New Roman"/>
          <w:b/>
          <w:sz w:val="28"/>
          <w:szCs w:val="28"/>
        </w:rPr>
      </w:pPr>
      <w:r w:rsidRPr="000E08BA">
        <w:rPr>
          <w:rFonts w:ascii="宋体" w:eastAsia="宋体" w:hAnsi="宋体" w:cs="Times New Roman" w:hint="eastAsia"/>
          <w:b/>
          <w:sz w:val="28"/>
          <w:szCs w:val="28"/>
        </w:rPr>
        <w:t>第二条 本规划的制定原则</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本规划的制定应在符合《公司法》等法律法规、规范性文件和《公司章程》等有关利润分配规定的基础上，充分考虑和听取股东（特别是中小股东）、独立董事和监事的意见，重视对股东的合理投资回报并兼顾公司的可持续发展需要，坚持积极、科学开展利润分配的基本原则，保持公司利润分配政策的连续性和稳定性。</w:t>
      </w:r>
    </w:p>
    <w:p w:rsidR="000E08BA" w:rsidRPr="000E08BA" w:rsidRDefault="000E08BA" w:rsidP="000E08BA">
      <w:pPr>
        <w:adjustRightInd w:val="0"/>
        <w:snapToGrid w:val="0"/>
        <w:spacing w:line="360" w:lineRule="auto"/>
        <w:ind w:firstLineChars="192" w:firstLine="540"/>
        <w:rPr>
          <w:rFonts w:ascii="宋体" w:eastAsia="宋体" w:hAnsi="宋体" w:cs="Times New Roman"/>
          <w:b/>
          <w:sz w:val="28"/>
          <w:szCs w:val="28"/>
        </w:rPr>
      </w:pPr>
      <w:r w:rsidRPr="000E08BA">
        <w:rPr>
          <w:rFonts w:ascii="宋体" w:eastAsia="宋体" w:hAnsi="宋体" w:cs="Times New Roman" w:hint="eastAsia"/>
          <w:b/>
          <w:sz w:val="28"/>
          <w:szCs w:val="28"/>
        </w:rPr>
        <w:t xml:space="preserve">第三条 未来三年（2018-2020）的具体股东回报规划 </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1、公司可以采取现金、股票或者现金与股票相结合或法律、法规允许的其他方式分配利润。公司在符合利润分配的条件下，原则上每年度进行一次利润分配，经公司股东大会审议决定，公司可进行中</w:t>
      </w:r>
      <w:r w:rsidRPr="000E08BA">
        <w:rPr>
          <w:rFonts w:ascii="宋体" w:eastAsia="宋体" w:hAnsi="宋体" w:cs="Times New Roman" w:hint="eastAsia"/>
          <w:sz w:val="28"/>
          <w:szCs w:val="28"/>
        </w:rPr>
        <w:lastRenderedPageBreak/>
        <w:t>期利润分配。在公司具备现金分红条件时，应当采用现金分红进行利润分配,采用股票股利的方式进行利润分配的，应当具有公司成长性、每股净资产的摊薄等真实合理因素。</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2、在公司未分配利润为正、当期可分配利润（即公司弥补亏损、提取公积金后所余的税后利润）为正且公司现金流可以满足公司正常经营和可持续发展的情况下，公司原则上每年进行一次现金分红。公司未来三年（即2018-2020年）每年现金</w:t>
      </w:r>
      <w:proofErr w:type="gramStart"/>
      <w:r w:rsidRPr="000E08BA">
        <w:rPr>
          <w:rFonts w:ascii="宋体" w:eastAsia="宋体" w:hAnsi="宋体" w:cs="Times New Roman" w:hint="eastAsia"/>
          <w:sz w:val="28"/>
          <w:szCs w:val="28"/>
        </w:rPr>
        <w:t>分红占</w:t>
      </w:r>
      <w:proofErr w:type="gramEnd"/>
      <w:r w:rsidRPr="000E08BA">
        <w:rPr>
          <w:rFonts w:ascii="宋体" w:eastAsia="宋体" w:hAnsi="宋体" w:cs="Times New Roman" w:hint="eastAsia"/>
          <w:sz w:val="28"/>
          <w:szCs w:val="28"/>
        </w:rPr>
        <w:t>当年归属于上市公司股东净利润的比例均不低于30%。同时，公司可根据需要采取股票股利的方式进行利润分配。</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3、公司利润分配预案由公司董事会在综合公司经营发展、股东意愿、社会资金成本及外部融资环境等因素的基础上拟定，充分听取独立董事意见，经公司董事会审议通过后，提交股东大会审议决定。公司积极接受股东、独立董事和监事对公司利润分配的建议和监督。</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4、公司股价持续低于每股净资产时，公司将促使控股股东、实际控制人通过二级市场增持、公司回购股份等措施，积极稳定公司股价。</w:t>
      </w:r>
    </w:p>
    <w:p w:rsidR="000E08BA" w:rsidRPr="000E08BA" w:rsidRDefault="000E08BA" w:rsidP="000E08BA">
      <w:pPr>
        <w:adjustRightInd w:val="0"/>
        <w:snapToGrid w:val="0"/>
        <w:spacing w:line="360" w:lineRule="auto"/>
        <w:ind w:firstLineChars="192" w:firstLine="540"/>
        <w:rPr>
          <w:rFonts w:ascii="宋体" w:eastAsia="宋体" w:hAnsi="宋体" w:cs="Times New Roman"/>
          <w:b/>
          <w:sz w:val="28"/>
          <w:szCs w:val="28"/>
        </w:rPr>
      </w:pPr>
      <w:r w:rsidRPr="000E08BA">
        <w:rPr>
          <w:rFonts w:ascii="宋体" w:eastAsia="宋体" w:hAnsi="宋体" w:cs="Times New Roman" w:hint="eastAsia"/>
          <w:b/>
          <w:sz w:val="28"/>
          <w:szCs w:val="28"/>
        </w:rPr>
        <w:t>第四条 股东回报规划的决策机制</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1、公司股东回报规划预案由董事会根据公司战略发展目标、实际经营情况、盈利规模及现金流量状况并结合股东（特别是中小股东）、独立董事和监事的意见拟定，在公司董事会审议通过后提交公司股东大会审议。</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2、公司如因外部经营环境或自身经营状况发生重大变化而需要调整股东回报规划的，应以股东权益保护为出发点，详细论证和说明原因，并严格履行决策程序。公司股东回报规划的调整应在公司董事会审议通过后，提交股东大会审议。</w:t>
      </w:r>
    </w:p>
    <w:p w:rsidR="000E08BA" w:rsidRPr="000E08BA" w:rsidRDefault="000E08BA" w:rsidP="000E08BA">
      <w:pPr>
        <w:adjustRightInd w:val="0"/>
        <w:snapToGrid w:val="0"/>
        <w:spacing w:line="360" w:lineRule="auto"/>
        <w:ind w:firstLineChars="192" w:firstLine="540"/>
        <w:rPr>
          <w:rFonts w:ascii="宋体" w:eastAsia="宋体" w:hAnsi="宋体" w:cs="Times New Roman"/>
          <w:b/>
          <w:sz w:val="28"/>
          <w:szCs w:val="28"/>
        </w:rPr>
      </w:pPr>
      <w:r w:rsidRPr="000E08BA">
        <w:rPr>
          <w:rFonts w:ascii="宋体" w:eastAsia="宋体" w:hAnsi="宋体" w:cs="Times New Roman" w:hint="eastAsia"/>
          <w:b/>
          <w:sz w:val="28"/>
          <w:szCs w:val="28"/>
        </w:rPr>
        <w:lastRenderedPageBreak/>
        <w:t>第五条 附则</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r w:rsidRPr="000E08BA">
        <w:rPr>
          <w:rFonts w:ascii="宋体" w:eastAsia="宋体" w:hAnsi="宋体" w:cs="Times New Roman" w:hint="eastAsia"/>
          <w:sz w:val="28"/>
          <w:szCs w:val="28"/>
        </w:rPr>
        <w:t>本规划未尽事宜，依照相关法律法规、规范性文件及《公司章程》的规定执行。本规划由公司董事会负责解释，自公司股东大会审议通过之日起实施，修订时亦同。</w:t>
      </w: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p>
    <w:p w:rsidR="000E08BA" w:rsidRPr="000E08BA" w:rsidRDefault="000E08BA" w:rsidP="000E08BA">
      <w:pPr>
        <w:adjustRightInd w:val="0"/>
        <w:snapToGrid w:val="0"/>
        <w:spacing w:line="360" w:lineRule="auto"/>
        <w:ind w:firstLineChars="192" w:firstLine="538"/>
        <w:rPr>
          <w:rFonts w:ascii="宋体" w:eastAsia="宋体" w:hAnsi="宋体" w:cs="Times New Roman"/>
          <w:sz w:val="28"/>
          <w:szCs w:val="28"/>
        </w:rPr>
      </w:pPr>
    </w:p>
    <w:p w:rsidR="000E08BA" w:rsidRPr="000E08BA" w:rsidRDefault="000E08BA" w:rsidP="000E08BA">
      <w:pPr>
        <w:adjustRightInd w:val="0"/>
        <w:snapToGrid w:val="0"/>
        <w:spacing w:line="360" w:lineRule="auto"/>
        <w:ind w:firstLineChars="1164" w:firstLine="3272"/>
        <w:jc w:val="center"/>
        <w:rPr>
          <w:rFonts w:ascii="宋体" w:eastAsia="宋体" w:hAnsi="宋体" w:cs="Times New Roman"/>
          <w:b/>
          <w:sz w:val="28"/>
          <w:szCs w:val="28"/>
        </w:rPr>
      </w:pPr>
      <w:r w:rsidRPr="000E08BA">
        <w:rPr>
          <w:rFonts w:ascii="宋体" w:eastAsia="宋体" w:hAnsi="宋体" w:cs="Times New Roman" w:hint="eastAsia"/>
          <w:b/>
          <w:sz w:val="28"/>
          <w:szCs w:val="28"/>
        </w:rPr>
        <w:t>保利房地产（集团）股份有限公司</w:t>
      </w:r>
    </w:p>
    <w:p w:rsidR="000E08BA" w:rsidRPr="000E08BA" w:rsidRDefault="000E08BA" w:rsidP="000E08BA">
      <w:pPr>
        <w:adjustRightInd w:val="0"/>
        <w:snapToGrid w:val="0"/>
        <w:spacing w:line="360" w:lineRule="auto"/>
        <w:ind w:firstLineChars="1164" w:firstLine="3272"/>
        <w:jc w:val="center"/>
        <w:rPr>
          <w:rFonts w:ascii="宋体" w:eastAsia="宋体" w:hAnsi="宋体" w:cs="Times New Roman"/>
          <w:b/>
          <w:sz w:val="28"/>
          <w:szCs w:val="28"/>
        </w:rPr>
      </w:pPr>
      <w:r w:rsidRPr="000E08BA">
        <w:rPr>
          <w:rFonts w:ascii="宋体" w:eastAsia="宋体" w:hAnsi="宋体" w:cs="Times New Roman" w:hint="eastAsia"/>
          <w:b/>
          <w:sz w:val="28"/>
          <w:szCs w:val="28"/>
        </w:rPr>
        <w:t>二○一八年四月</w:t>
      </w:r>
    </w:p>
    <w:p w:rsidR="00DB7937" w:rsidRPr="000E08BA" w:rsidRDefault="00DB7937">
      <w:pPr>
        <w:rPr>
          <w:rFonts w:ascii="宋体" w:eastAsia="宋体" w:hAnsi="宋体"/>
        </w:rPr>
      </w:pPr>
    </w:p>
    <w:sectPr w:rsidR="00DB7937" w:rsidRPr="000E08BA" w:rsidSect="0064577C">
      <w:headerReference w:type="default" r:id="rId7"/>
      <w:pgSz w:w="11906" w:h="16838"/>
      <w:pgMar w:top="1440" w:right="1800" w:bottom="1440" w:left="1800" w:header="851" w:footer="567"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BA" w:rsidRDefault="000E08BA" w:rsidP="000E08BA">
      <w:r>
        <w:separator/>
      </w:r>
    </w:p>
  </w:endnote>
  <w:endnote w:type="continuationSeparator" w:id="0">
    <w:p w:rsidR="000E08BA" w:rsidRDefault="000E08BA" w:rsidP="000E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BA" w:rsidRDefault="000E08BA" w:rsidP="000E08BA">
      <w:r>
        <w:separator/>
      </w:r>
    </w:p>
  </w:footnote>
  <w:footnote w:type="continuationSeparator" w:id="0">
    <w:p w:rsidR="000E08BA" w:rsidRDefault="000E08BA" w:rsidP="000E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44" w:rsidRPr="000E08BA" w:rsidRDefault="000E08BA" w:rsidP="00443B0E">
    <w:pPr>
      <w:pStyle w:val="a3"/>
      <w:rPr>
        <w:rFonts w:ascii="宋体" w:eastAsia="宋体" w:hAnsi="宋体"/>
      </w:rPr>
    </w:pPr>
    <w:r>
      <w:rPr>
        <w:noProof/>
      </w:rPr>
      <w:drawing>
        <wp:inline distT="0" distB="0" distL="0" distR="0" wp14:anchorId="7ECD08B3" wp14:editId="1AD3C1C0">
          <wp:extent cx="1947545" cy="260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260985"/>
                  </a:xfrm>
                  <a:prstGeom prst="rect">
                    <a:avLst/>
                  </a:prstGeom>
                  <a:noFill/>
                  <a:ln>
                    <a:noFill/>
                  </a:ln>
                </pic:spPr>
              </pic:pic>
            </a:graphicData>
          </a:graphic>
        </wp:inline>
      </w:drawing>
    </w:r>
    <w:r>
      <w:rPr>
        <w:rFonts w:hint="eastAsia"/>
      </w:rPr>
      <w:t xml:space="preserve">       </w:t>
    </w:r>
    <w:r>
      <w:rPr>
        <w:rFonts w:hint="eastAsia"/>
      </w:rPr>
      <w:t xml:space="preserve">                          </w:t>
    </w:r>
    <w:r w:rsidRPr="000E08BA">
      <w:rPr>
        <w:rFonts w:ascii="宋体" w:eastAsia="宋体" w:hAnsi="宋体" w:hint="eastAsia"/>
      </w:rPr>
      <w:t xml:space="preserve"> </w:t>
    </w:r>
    <w:r w:rsidRPr="000E08BA">
      <w:rPr>
        <w:rFonts w:ascii="宋体" w:eastAsia="宋体" w:hAnsi="宋体" w:hint="eastAsia"/>
      </w:rPr>
      <w:t>201</w:t>
    </w:r>
    <w:r>
      <w:rPr>
        <w:rFonts w:ascii="宋体" w:eastAsia="宋体" w:hAnsi="宋体" w:hint="eastAsia"/>
      </w:rPr>
      <w:t>8-2020年股东回报规划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BA"/>
    <w:rsid w:val="000E08BA"/>
    <w:rsid w:val="00252608"/>
    <w:rsid w:val="0026187D"/>
    <w:rsid w:val="00424D17"/>
    <w:rsid w:val="005C70DF"/>
    <w:rsid w:val="006425DA"/>
    <w:rsid w:val="00A178B9"/>
    <w:rsid w:val="00AD2206"/>
    <w:rsid w:val="00BD6FD9"/>
    <w:rsid w:val="00D95151"/>
    <w:rsid w:val="00DB7937"/>
    <w:rsid w:val="00F76974"/>
    <w:rsid w:val="00FF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0E08BA"/>
    <w:rPr>
      <w:rFonts w:ascii="Arial" w:eastAsia="仿宋_GB2312" w:hAnsi="Arial"/>
      <w:sz w:val="18"/>
      <w:szCs w:val="18"/>
    </w:rPr>
  </w:style>
  <w:style w:type="paragraph" w:styleId="a3">
    <w:name w:val="header"/>
    <w:basedOn w:val="a"/>
    <w:link w:val="Char"/>
    <w:uiPriority w:val="99"/>
    <w:rsid w:val="000E08BA"/>
    <w:pPr>
      <w:pBdr>
        <w:bottom w:val="single" w:sz="6" w:space="1" w:color="auto"/>
      </w:pBdr>
      <w:tabs>
        <w:tab w:val="center" w:pos="4153"/>
        <w:tab w:val="right" w:pos="8306"/>
      </w:tabs>
      <w:snapToGrid w:val="0"/>
      <w:jc w:val="center"/>
    </w:pPr>
    <w:rPr>
      <w:rFonts w:ascii="Arial" w:eastAsia="仿宋_GB2312" w:hAnsi="Arial"/>
      <w:sz w:val="18"/>
      <w:szCs w:val="18"/>
    </w:rPr>
  </w:style>
  <w:style w:type="character" w:customStyle="1" w:styleId="Char1">
    <w:name w:val="页眉 Char1"/>
    <w:basedOn w:val="a0"/>
    <w:uiPriority w:val="99"/>
    <w:semiHidden/>
    <w:rsid w:val="000E08BA"/>
    <w:rPr>
      <w:sz w:val="18"/>
      <w:szCs w:val="18"/>
    </w:rPr>
  </w:style>
  <w:style w:type="paragraph" w:styleId="a4">
    <w:name w:val="Balloon Text"/>
    <w:basedOn w:val="a"/>
    <w:link w:val="Char0"/>
    <w:uiPriority w:val="99"/>
    <w:semiHidden/>
    <w:unhideWhenUsed/>
    <w:rsid w:val="000E08BA"/>
    <w:rPr>
      <w:sz w:val="18"/>
      <w:szCs w:val="18"/>
    </w:rPr>
  </w:style>
  <w:style w:type="character" w:customStyle="1" w:styleId="Char0">
    <w:name w:val="批注框文本 Char"/>
    <w:basedOn w:val="a0"/>
    <w:link w:val="a4"/>
    <w:uiPriority w:val="99"/>
    <w:semiHidden/>
    <w:rsid w:val="000E08BA"/>
    <w:rPr>
      <w:sz w:val="18"/>
      <w:szCs w:val="18"/>
    </w:rPr>
  </w:style>
  <w:style w:type="paragraph" w:styleId="a5">
    <w:name w:val="footer"/>
    <w:basedOn w:val="a"/>
    <w:link w:val="Char2"/>
    <w:uiPriority w:val="99"/>
    <w:unhideWhenUsed/>
    <w:rsid w:val="000E08BA"/>
    <w:pPr>
      <w:tabs>
        <w:tab w:val="center" w:pos="4153"/>
        <w:tab w:val="right" w:pos="8306"/>
      </w:tabs>
      <w:snapToGrid w:val="0"/>
      <w:jc w:val="left"/>
    </w:pPr>
    <w:rPr>
      <w:sz w:val="18"/>
      <w:szCs w:val="18"/>
    </w:rPr>
  </w:style>
  <w:style w:type="character" w:customStyle="1" w:styleId="Char2">
    <w:name w:val="页脚 Char"/>
    <w:basedOn w:val="a0"/>
    <w:link w:val="a5"/>
    <w:uiPriority w:val="99"/>
    <w:rsid w:val="000E08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0E08BA"/>
    <w:rPr>
      <w:rFonts w:ascii="Arial" w:eastAsia="仿宋_GB2312" w:hAnsi="Arial"/>
      <w:sz w:val="18"/>
      <w:szCs w:val="18"/>
    </w:rPr>
  </w:style>
  <w:style w:type="paragraph" w:styleId="a3">
    <w:name w:val="header"/>
    <w:basedOn w:val="a"/>
    <w:link w:val="Char"/>
    <w:uiPriority w:val="99"/>
    <w:rsid w:val="000E08BA"/>
    <w:pPr>
      <w:pBdr>
        <w:bottom w:val="single" w:sz="6" w:space="1" w:color="auto"/>
      </w:pBdr>
      <w:tabs>
        <w:tab w:val="center" w:pos="4153"/>
        <w:tab w:val="right" w:pos="8306"/>
      </w:tabs>
      <w:snapToGrid w:val="0"/>
      <w:jc w:val="center"/>
    </w:pPr>
    <w:rPr>
      <w:rFonts w:ascii="Arial" w:eastAsia="仿宋_GB2312" w:hAnsi="Arial"/>
      <w:sz w:val="18"/>
      <w:szCs w:val="18"/>
    </w:rPr>
  </w:style>
  <w:style w:type="character" w:customStyle="1" w:styleId="Char1">
    <w:name w:val="页眉 Char1"/>
    <w:basedOn w:val="a0"/>
    <w:uiPriority w:val="99"/>
    <w:semiHidden/>
    <w:rsid w:val="000E08BA"/>
    <w:rPr>
      <w:sz w:val="18"/>
      <w:szCs w:val="18"/>
    </w:rPr>
  </w:style>
  <w:style w:type="paragraph" w:styleId="a4">
    <w:name w:val="Balloon Text"/>
    <w:basedOn w:val="a"/>
    <w:link w:val="Char0"/>
    <w:uiPriority w:val="99"/>
    <w:semiHidden/>
    <w:unhideWhenUsed/>
    <w:rsid w:val="000E08BA"/>
    <w:rPr>
      <w:sz w:val="18"/>
      <w:szCs w:val="18"/>
    </w:rPr>
  </w:style>
  <w:style w:type="character" w:customStyle="1" w:styleId="Char0">
    <w:name w:val="批注框文本 Char"/>
    <w:basedOn w:val="a0"/>
    <w:link w:val="a4"/>
    <w:uiPriority w:val="99"/>
    <w:semiHidden/>
    <w:rsid w:val="000E08BA"/>
    <w:rPr>
      <w:sz w:val="18"/>
      <w:szCs w:val="18"/>
    </w:rPr>
  </w:style>
  <w:style w:type="paragraph" w:styleId="a5">
    <w:name w:val="footer"/>
    <w:basedOn w:val="a"/>
    <w:link w:val="Char2"/>
    <w:uiPriority w:val="99"/>
    <w:unhideWhenUsed/>
    <w:rsid w:val="000E08BA"/>
    <w:pPr>
      <w:tabs>
        <w:tab w:val="center" w:pos="4153"/>
        <w:tab w:val="right" w:pos="8306"/>
      </w:tabs>
      <w:snapToGrid w:val="0"/>
      <w:jc w:val="left"/>
    </w:pPr>
    <w:rPr>
      <w:sz w:val="18"/>
      <w:szCs w:val="18"/>
    </w:rPr>
  </w:style>
  <w:style w:type="character" w:customStyle="1" w:styleId="Char2">
    <w:name w:val="页脚 Char"/>
    <w:basedOn w:val="a0"/>
    <w:link w:val="a5"/>
    <w:uiPriority w:val="99"/>
    <w:rsid w:val="000E08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203</Words>
  <Characters>1162</Characters>
  <Application>Microsoft Office Word</Application>
  <DocSecurity>0</DocSecurity>
  <Lines>9</Lines>
  <Paragraphs>2</Paragraphs>
  <ScaleCrop>false</ScaleCrop>
  <Company>Poly Real Estate Group Co.,Ltd</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HCY</dc:creator>
  <cp:lastModifiedBy>HCY</cp:lastModifiedBy>
  <cp:revision>1</cp:revision>
  <dcterms:created xsi:type="dcterms:W3CDTF">2018-04-13T09:16:00Z</dcterms:created>
  <dcterms:modified xsi:type="dcterms:W3CDTF">2018-04-13T09:19:00Z</dcterms:modified>
</cp:coreProperties>
</file>